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D0" w:rsidRPr="00AD2143" w:rsidRDefault="001439D0" w:rsidP="001439D0">
      <w:pPr>
        <w:widowControl/>
        <w:jc w:val="center"/>
        <w:rPr>
          <w:rFonts w:ascii="黑体" w:eastAsia="黑体"/>
          <w:sz w:val="32"/>
          <w:szCs w:val="32"/>
        </w:rPr>
      </w:pPr>
      <w:r w:rsidRPr="00AD2143">
        <w:rPr>
          <w:rFonts w:ascii="黑体" w:eastAsia="黑体" w:cs="黑体"/>
          <w:sz w:val="32"/>
          <w:szCs w:val="32"/>
        </w:rPr>
        <w:t>2014</w:t>
      </w:r>
      <w:r w:rsidRPr="00AD2143">
        <w:rPr>
          <w:rFonts w:ascii="黑体" w:eastAsia="黑体" w:cs="黑体" w:hint="eastAsia"/>
          <w:sz w:val="32"/>
          <w:szCs w:val="32"/>
        </w:rPr>
        <w:t>年度上海市人民政府决策咨询研究</w:t>
      </w:r>
    </w:p>
    <w:p w:rsidR="001439D0" w:rsidRPr="00AD2143" w:rsidRDefault="001439D0" w:rsidP="001439D0">
      <w:pPr>
        <w:widowControl/>
        <w:jc w:val="center"/>
        <w:rPr>
          <w:rFonts w:ascii="黑体" w:eastAsia="黑体" w:hAnsi="宋体"/>
          <w:b/>
          <w:bCs/>
          <w:sz w:val="32"/>
          <w:szCs w:val="32"/>
        </w:rPr>
      </w:pPr>
      <w:r w:rsidRPr="00AD2143">
        <w:rPr>
          <w:rFonts w:ascii="黑体" w:eastAsia="黑体" w:cs="黑体" w:hint="eastAsia"/>
          <w:sz w:val="32"/>
          <w:szCs w:val="32"/>
        </w:rPr>
        <w:t>国际航运中心专项课题</w:t>
      </w:r>
      <w:r w:rsidRPr="00AD2143">
        <w:rPr>
          <w:rFonts w:ascii="黑体" w:eastAsia="黑体" w:cs="黑体" w:hint="eastAsia"/>
          <w:kern w:val="0"/>
          <w:sz w:val="32"/>
          <w:szCs w:val="32"/>
        </w:rPr>
        <w:t>指南</w:t>
      </w:r>
    </w:p>
    <w:p w:rsidR="001439D0" w:rsidRDefault="001439D0" w:rsidP="001439D0">
      <w:pPr>
        <w:pStyle w:val="1"/>
        <w:spacing w:before="0" w:beforeAutospacing="0" w:after="0" w:afterAutospacing="0" w:line="360" w:lineRule="auto"/>
        <w:ind w:firstLineChars="200" w:firstLine="560"/>
        <w:rPr>
          <w:rFonts w:ascii="黑体" w:eastAsia="黑体" w:cs="Times New Roman"/>
          <w:color w:val="auto"/>
          <w:sz w:val="28"/>
          <w:szCs w:val="28"/>
        </w:rPr>
      </w:pPr>
    </w:p>
    <w:p w:rsidR="001439D0" w:rsidRPr="00AD2143" w:rsidRDefault="001439D0" w:rsidP="001439D0">
      <w:pPr>
        <w:pStyle w:val="1"/>
        <w:adjustRightInd w:val="0"/>
        <w:snapToGrid w:val="0"/>
        <w:spacing w:before="0" w:beforeAutospacing="0" w:after="0" w:afterAutospacing="0" w:line="360" w:lineRule="auto"/>
        <w:ind w:firstLineChars="200" w:firstLine="560"/>
        <w:rPr>
          <w:rFonts w:ascii="黑体" w:eastAsia="黑体" w:cs="Times New Roman"/>
          <w:color w:val="auto"/>
          <w:sz w:val="28"/>
          <w:szCs w:val="28"/>
        </w:rPr>
      </w:pPr>
      <w:r w:rsidRPr="00AD2143">
        <w:rPr>
          <w:rFonts w:ascii="黑体" w:eastAsia="黑体" w:cs="黑体" w:hint="eastAsia"/>
          <w:color w:val="auto"/>
          <w:sz w:val="28"/>
          <w:szCs w:val="28"/>
        </w:rPr>
        <w:t>一、航运服务集聚区承接自贸试验区的辐射发展研究</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研究目的与要求：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hint="eastAsia"/>
          <w:color w:val="auto"/>
          <w:sz w:val="28"/>
          <w:szCs w:val="28"/>
        </w:rPr>
        <w:t>作为大陆首个自贸试验区，中国（上海）自由贸易试验区从正式获</w:t>
      </w:r>
      <w:proofErr w:type="gramStart"/>
      <w:r w:rsidRPr="00DE3889">
        <w:rPr>
          <w:rFonts w:ascii="仿宋_GB2312" w:eastAsia="仿宋_GB2312" w:cs="仿宋_GB2312" w:hint="eastAsia"/>
          <w:color w:val="auto"/>
          <w:sz w:val="28"/>
          <w:szCs w:val="28"/>
        </w:rPr>
        <w:t>批至今</w:t>
      </w:r>
      <w:proofErr w:type="gramEnd"/>
      <w:r w:rsidRPr="00DE3889">
        <w:rPr>
          <w:rFonts w:ascii="仿宋_GB2312" w:eastAsia="仿宋_GB2312" w:cs="仿宋_GB2312" w:hint="eastAsia"/>
          <w:color w:val="auto"/>
          <w:sz w:val="28"/>
          <w:szCs w:val="28"/>
        </w:rPr>
        <w:t>已近一个年头。在这一年里，上海自贸试验区通过监管模式的创新，大幅度提升货物贸易便利化，通过先行先试和金融创新进一步扩大了服务业的开放。自贸试验区航运相关领域的政策突破和试点开展，也大大推动了上海国际航运中心航运产业链的整体升级，这些都为上海各大航运服务集聚区奠定了更好的产业基础。针对自贸试验区中航运业发展制度的创新，在服务国家战略的过程中，各个航运服务集聚区也应当主动承接自贸试验区辐射，充分用好制度创新带来的溢出效应，率先承接创新成果的辐射。本课题重点围绕以下方面的内容进行深入研究：</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、上海各个航运服务集聚区发展现状和特点分析；</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、自贸试验区推进过程中所形成的航运发展创新成果梳理；</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3</w:t>
      </w:r>
      <w:r w:rsidRPr="00DE3889">
        <w:rPr>
          <w:rFonts w:ascii="仿宋_GB2312" w:eastAsia="仿宋_GB2312" w:cs="仿宋_GB2312" w:hint="eastAsia"/>
          <w:color w:val="auto"/>
          <w:sz w:val="28"/>
          <w:szCs w:val="28"/>
        </w:rPr>
        <w:t>、新加坡、香港等国际先进经验借鉴；</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4</w:t>
      </w:r>
      <w:r w:rsidRPr="00DE3889">
        <w:rPr>
          <w:rFonts w:ascii="仿宋_GB2312" w:eastAsia="仿宋_GB2312" w:cs="仿宋_GB2312" w:hint="eastAsia"/>
          <w:color w:val="auto"/>
          <w:sz w:val="28"/>
          <w:szCs w:val="28"/>
        </w:rPr>
        <w:t>、上海各个航运服务集聚区承接自贸试验区航运发展制度创新成果辐射的总体方案研究；</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5</w:t>
      </w:r>
      <w:r w:rsidRPr="00DE3889">
        <w:rPr>
          <w:rFonts w:ascii="仿宋_GB2312" w:eastAsia="仿宋_GB2312" w:cs="仿宋_GB2312" w:hint="eastAsia"/>
          <w:color w:val="auto"/>
          <w:sz w:val="28"/>
          <w:szCs w:val="28"/>
        </w:rPr>
        <w:t>、相关承接工作的具体方案及对策建议。</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研究实施进度与要求：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9</w:t>
      </w:r>
      <w:r w:rsidRPr="00DE3889">
        <w:rPr>
          <w:rFonts w:ascii="仿宋_GB2312" w:eastAsia="仿宋_GB2312" w:cs="仿宋_GB2312" w:hint="eastAsia"/>
          <w:color w:val="auto"/>
          <w:sz w:val="28"/>
          <w:szCs w:val="28"/>
        </w:rPr>
        <w:t>月中旬，提交课题研究中期成果报告或专题报告，进行中期成果评估。</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11</w:t>
      </w:r>
      <w:r w:rsidRPr="00DE3889">
        <w:rPr>
          <w:rFonts w:ascii="仿宋_GB2312" w:eastAsia="仿宋_GB2312" w:cs="仿宋_GB2312" w:hint="eastAsia"/>
          <w:color w:val="auto"/>
          <w:sz w:val="28"/>
          <w:szCs w:val="28"/>
        </w:rPr>
        <w:t>月中旬，完成研究任务，提交课题研究总报告。</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p>
    <w:p w:rsidR="001439D0" w:rsidRPr="00AD2143" w:rsidRDefault="001439D0" w:rsidP="001439D0">
      <w:pPr>
        <w:pStyle w:val="1"/>
        <w:adjustRightInd w:val="0"/>
        <w:snapToGrid w:val="0"/>
        <w:spacing w:before="0" w:beforeAutospacing="0" w:after="0" w:afterAutospacing="0" w:line="360" w:lineRule="auto"/>
        <w:ind w:firstLineChars="200" w:firstLine="562"/>
        <w:rPr>
          <w:rFonts w:ascii="黑体" w:eastAsia="黑体" w:cs="Times New Roman"/>
          <w:b/>
          <w:bCs/>
          <w:color w:val="auto"/>
          <w:sz w:val="28"/>
          <w:szCs w:val="28"/>
        </w:rPr>
      </w:pPr>
      <w:r w:rsidRPr="00AD2143">
        <w:rPr>
          <w:rFonts w:ascii="黑体" w:eastAsia="黑体" w:cs="黑体" w:hint="eastAsia"/>
          <w:b/>
          <w:bCs/>
          <w:color w:val="auto"/>
          <w:sz w:val="28"/>
          <w:szCs w:val="28"/>
        </w:rPr>
        <w:t>二、“十三五”期间上海国际航运中心建设的潜在风险、发展目标和关键任务研究</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研究目的与要求：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hint="eastAsia"/>
          <w:color w:val="auto"/>
          <w:sz w:val="28"/>
          <w:szCs w:val="28"/>
        </w:rPr>
        <w:t>根据国务院</w:t>
      </w:r>
      <w:r w:rsidRPr="00DE3889">
        <w:rPr>
          <w:rFonts w:ascii="仿宋_GB2312" w:eastAsia="仿宋_GB2312" w:cs="仿宋_GB2312"/>
          <w:color w:val="auto"/>
          <w:sz w:val="28"/>
          <w:szCs w:val="28"/>
        </w:rPr>
        <w:t>19</w:t>
      </w:r>
      <w:r w:rsidRPr="00DE3889">
        <w:rPr>
          <w:rFonts w:ascii="仿宋_GB2312" w:eastAsia="仿宋_GB2312" w:cs="仿宋_GB2312" w:hint="eastAsia"/>
          <w:color w:val="auto"/>
          <w:sz w:val="28"/>
          <w:szCs w:val="28"/>
        </w:rPr>
        <w:t>号文的意见，到</w:t>
      </w:r>
      <w:r w:rsidRPr="00DE3889">
        <w:rPr>
          <w:rFonts w:ascii="仿宋_GB2312" w:eastAsia="仿宋_GB2312" w:cs="仿宋_GB2312"/>
          <w:color w:val="auto"/>
          <w:sz w:val="28"/>
          <w:szCs w:val="28"/>
        </w:rPr>
        <w:t>2020</w:t>
      </w:r>
      <w:r w:rsidRPr="00DE3889">
        <w:rPr>
          <w:rFonts w:ascii="仿宋_GB2312" w:eastAsia="仿宋_GB2312" w:cs="仿宋_GB2312" w:hint="eastAsia"/>
          <w:color w:val="auto"/>
          <w:sz w:val="28"/>
          <w:szCs w:val="28"/>
        </w:rPr>
        <w:t>年，上海国际航运中心要基本建成航运资源高度集聚、航运服务功能健全、航运市场环境优良、现代物流服务高效，具有全球航运资源配置能力的国际航运中心。“十三五”作为上海国际航运中心建设初级阶段的最后攻坚时期，对“十三五”期间航运中心建设存在的潜在风险进行分析，对上海国际航运中心建设“十三五”期间的发展目标进行重新定位，对相关指标进行合理调整，对应当重点推进的关键任务进行梳理，都尤为重要。本课题重点围绕以下方面的内容进行深入研究：</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、上海国际航运中心建设发展背景和现有成果梳理；</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、“十三五”期间航运中心建设存在的潜在风险分析；</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3</w:t>
      </w:r>
      <w:r w:rsidRPr="00DE3889">
        <w:rPr>
          <w:rFonts w:ascii="仿宋_GB2312" w:eastAsia="仿宋_GB2312" w:cs="仿宋_GB2312" w:hint="eastAsia"/>
          <w:color w:val="auto"/>
          <w:sz w:val="28"/>
          <w:szCs w:val="28"/>
        </w:rPr>
        <w:t>、结合国务院</w:t>
      </w:r>
      <w:r w:rsidRPr="00DE3889">
        <w:rPr>
          <w:rFonts w:ascii="仿宋_GB2312" w:eastAsia="仿宋_GB2312" w:cs="仿宋_GB2312"/>
          <w:color w:val="auto"/>
          <w:sz w:val="28"/>
          <w:szCs w:val="28"/>
        </w:rPr>
        <w:t>19</w:t>
      </w:r>
      <w:r w:rsidRPr="00DE3889">
        <w:rPr>
          <w:rFonts w:ascii="仿宋_GB2312" w:eastAsia="仿宋_GB2312" w:cs="仿宋_GB2312" w:hint="eastAsia"/>
          <w:color w:val="auto"/>
          <w:sz w:val="28"/>
          <w:szCs w:val="28"/>
        </w:rPr>
        <w:t>号文件以及国际航运发展新形势，重新定位上海国际航运中心建设“十三五”期间的发展目标，并合理调整相关指标；</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4</w:t>
      </w:r>
      <w:r w:rsidRPr="00DE3889">
        <w:rPr>
          <w:rFonts w:ascii="仿宋_GB2312" w:eastAsia="仿宋_GB2312" w:cs="仿宋_GB2312" w:hint="eastAsia"/>
          <w:color w:val="auto"/>
          <w:sz w:val="28"/>
          <w:szCs w:val="28"/>
        </w:rPr>
        <w:t>、提出“十三五”期间应当重点推进的关键任务。</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研究实施进度与要求：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9</w:t>
      </w:r>
      <w:r w:rsidRPr="00DE3889">
        <w:rPr>
          <w:rFonts w:ascii="仿宋_GB2312" w:eastAsia="仿宋_GB2312" w:cs="仿宋_GB2312" w:hint="eastAsia"/>
          <w:color w:val="auto"/>
          <w:sz w:val="28"/>
          <w:szCs w:val="28"/>
        </w:rPr>
        <w:t>月中旬，提交课题研究中期成果报告或专题报告，进行中期成果评估。</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11</w:t>
      </w:r>
      <w:r w:rsidRPr="00DE3889">
        <w:rPr>
          <w:rFonts w:ascii="仿宋_GB2312" w:eastAsia="仿宋_GB2312" w:cs="仿宋_GB2312" w:hint="eastAsia"/>
          <w:color w:val="auto"/>
          <w:sz w:val="28"/>
          <w:szCs w:val="28"/>
        </w:rPr>
        <w:t>月中旬，完成研究任务，提交课题研究总报告。</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p>
    <w:p w:rsidR="001439D0" w:rsidRPr="00AD2143" w:rsidRDefault="001439D0" w:rsidP="001439D0">
      <w:pPr>
        <w:pStyle w:val="1"/>
        <w:adjustRightInd w:val="0"/>
        <w:snapToGrid w:val="0"/>
        <w:spacing w:before="0" w:beforeAutospacing="0" w:after="0" w:afterAutospacing="0" w:line="360" w:lineRule="auto"/>
        <w:ind w:firstLineChars="200" w:firstLine="562"/>
        <w:rPr>
          <w:rFonts w:ascii="黑体" w:eastAsia="黑体" w:cs="Times New Roman"/>
          <w:b/>
          <w:bCs/>
          <w:color w:val="auto"/>
          <w:sz w:val="28"/>
          <w:szCs w:val="28"/>
        </w:rPr>
      </w:pPr>
      <w:r w:rsidRPr="00AD2143">
        <w:rPr>
          <w:rFonts w:ascii="黑体" w:eastAsia="黑体" w:cs="黑体" w:hint="eastAsia"/>
          <w:b/>
          <w:bCs/>
          <w:color w:val="auto"/>
          <w:sz w:val="28"/>
          <w:szCs w:val="28"/>
        </w:rPr>
        <w:t>三、上海国际航运中心建设人才引进与培养模式研究</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研究目的与要求：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hint="eastAsia"/>
          <w:color w:val="auto"/>
          <w:sz w:val="28"/>
          <w:szCs w:val="28"/>
        </w:rPr>
        <w:lastRenderedPageBreak/>
        <w:t>上海国际航运中心建设及现代服务业的发展需要大量动手能力和创新意识强的卓越工程人才，需要大批通晓行业国际惯例，能参与国际竞争的航运管理、航运金融、航运法律、航运保险等高级人才的有力支撑。目前，上海航运人才仍然存在总量不足、整体素质不高、结构不合理等问题，特别是熟悉航运金融、航运咨询、海商海事、国际公约、航运交易、邮轮管理、空中交通等的复合型人才大量缺乏。因此，引进与培养高素质人才是提高上海国际航运中心“软实力”的重中之重。本课题重点围绕以下方面的内容进行深入研究：</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、梳理目前上海国际航运中心建设人才的构成及紧缺人才；</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、人才引进与培养的相关政策制度分析；</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3</w:t>
      </w:r>
      <w:r w:rsidRPr="00DE3889">
        <w:rPr>
          <w:rFonts w:ascii="仿宋_GB2312" w:eastAsia="仿宋_GB2312" w:cs="仿宋_GB2312" w:hint="eastAsia"/>
          <w:color w:val="auto"/>
          <w:sz w:val="28"/>
          <w:szCs w:val="28"/>
        </w:rPr>
        <w:t>、境外国际航运中心（尤其是新加坡、香港）先进经验分析与借鉴；</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4</w:t>
      </w:r>
      <w:r w:rsidRPr="00DE3889">
        <w:rPr>
          <w:rFonts w:ascii="仿宋_GB2312" w:eastAsia="仿宋_GB2312" w:cs="仿宋_GB2312" w:hint="eastAsia"/>
          <w:color w:val="auto"/>
          <w:sz w:val="28"/>
          <w:szCs w:val="28"/>
        </w:rPr>
        <w:t>、适合上海的人才引进与培养的基地建设、资金渠道以及制度建设研究；</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5</w:t>
      </w:r>
      <w:r w:rsidRPr="00DE3889">
        <w:rPr>
          <w:rFonts w:ascii="仿宋_GB2312" w:eastAsia="仿宋_GB2312" w:cs="仿宋_GB2312" w:hint="eastAsia"/>
          <w:color w:val="auto"/>
          <w:sz w:val="28"/>
          <w:szCs w:val="28"/>
        </w:rPr>
        <w:t>、提出上海航运人才培养的创新模式。</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研究实施进度与要求：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9</w:t>
      </w:r>
      <w:r w:rsidRPr="00DE3889">
        <w:rPr>
          <w:rFonts w:ascii="仿宋_GB2312" w:eastAsia="仿宋_GB2312" w:cs="仿宋_GB2312" w:hint="eastAsia"/>
          <w:color w:val="auto"/>
          <w:sz w:val="28"/>
          <w:szCs w:val="28"/>
        </w:rPr>
        <w:t>月中旬，提交课题研究中期成果报告或专题报告，进行中期成果评估。</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11</w:t>
      </w:r>
      <w:r w:rsidRPr="00DE3889">
        <w:rPr>
          <w:rFonts w:ascii="仿宋_GB2312" w:eastAsia="仿宋_GB2312" w:cs="仿宋_GB2312" w:hint="eastAsia"/>
          <w:color w:val="auto"/>
          <w:sz w:val="28"/>
          <w:szCs w:val="28"/>
        </w:rPr>
        <w:t>月中旬，完成研究任务，提交课题研究总报告。</w:t>
      </w:r>
    </w:p>
    <w:p w:rsidR="001439D0" w:rsidRPr="00DE3889" w:rsidRDefault="001439D0" w:rsidP="001439D0">
      <w:pPr>
        <w:pStyle w:val="1"/>
        <w:adjustRightInd w:val="0"/>
        <w:snapToGrid w:val="0"/>
        <w:spacing w:before="0" w:beforeAutospacing="0" w:after="0" w:afterAutospacing="0" w:line="360" w:lineRule="auto"/>
        <w:rPr>
          <w:rFonts w:ascii="仿宋_GB2312" w:eastAsia="仿宋_GB2312" w:cs="Times New Roman"/>
          <w:color w:val="auto"/>
          <w:sz w:val="28"/>
          <w:szCs w:val="28"/>
        </w:rPr>
      </w:pPr>
    </w:p>
    <w:p w:rsidR="001439D0" w:rsidRPr="00AD2143" w:rsidRDefault="001439D0" w:rsidP="001439D0">
      <w:pPr>
        <w:pStyle w:val="1"/>
        <w:adjustRightInd w:val="0"/>
        <w:snapToGrid w:val="0"/>
        <w:spacing w:before="0" w:beforeAutospacing="0" w:after="0" w:afterAutospacing="0" w:line="360" w:lineRule="auto"/>
        <w:ind w:firstLineChars="200" w:firstLine="562"/>
        <w:rPr>
          <w:rFonts w:ascii="黑体" w:eastAsia="黑体" w:cs="Times New Roman"/>
          <w:b/>
          <w:bCs/>
          <w:color w:val="auto"/>
          <w:sz w:val="28"/>
          <w:szCs w:val="28"/>
        </w:rPr>
      </w:pPr>
      <w:r w:rsidRPr="00AD2143">
        <w:rPr>
          <w:rFonts w:ascii="黑体" w:eastAsia="黑体" w:cs="黑体" w:hint="eastAsia"/>
          <w:b/>
          <w:bCs/>
          <w:color w:val="auto"/>
          <w:sz w:val="28"/>
          <w:szCs w:val="28"/>
        </w:rPr>
        <w:t>四、航运数据的获取及开发利用研究</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研究目的与要求：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hint="eastAsia"/>
          <w:color w:val="auto"/>
          <w:sz w:val="28"/>
          <w:szCs w:val="28"/>
        </w:rPr>
        <w:t>虽然中国仍处于大数据时代的前夜，但是，每个有前瞻性的政府和企业都已经认识到数据的宝贵性和重要性，未来，手中握有数据将不啻于站在金矿上</w:t>
      </w:r>
      <w:r w:rsidRPr="00DE3889">
        <w:rPr>
          <w:rFonts w:ascii="仿宋_GB2312" w:eastAsia="仿宋_GB2312" w:cs="仿宋_GB2312"/>
          <w:color w:val="auto"/>
          <w:sz w:val="28"/>
          <w:szCs w:val="28"/>
        </w:rPr>
        <w:t>——</w:t>
      </w:r>
      <w:r w:rsidRPr="00DE3889">
        <w:rPr>
          <w:rFonts w:ascii="仿宋_GB2312" w:eastAsia="仿宋_GB2312" w:cs="仿宋_GB2312" w:hint="eastAsia"/>
          <w:color w:val="auto"/>
          <w:sz w:val="28"/>
          <w:szCs w:val="28"/>
        </w:rPr>
        <w:t>基于数据交易能产生很好的效益，基于数据挖</w:t>
      </w:r>
      <w:r w:rsidRPr="00DE3889">
        <w:rPr>
          <w:rFonts w:ascii="仿宋_GB2312" w:eastAsia="仿宋_GB2312" w:cs="仿宋_GB2312" w:hint="eastAsia"/>
          <w:color w:val="auto"/>
          <w:sz w:val="28"/>
          <w:szCs w:val="28"/>
        </w:rPr>
        <w:lastRenderedPageBreak/>
        <w:t>掘将诞生许多新的商业模式。在大数据时代，从简单数据收集到数据挖掘与应用都发生了很大变化，航运服务如何才能适应这个时代？答案就是收集并充分利用各种有效数据，开发高效快捷的航运数据服务系统。本课题重点围绕以下方面的内容进行深入研究：</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、梳理航运数据的主要构成和来源；</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2</w:t>
      </w:r>
      <w:r w:rsidRPr="00DE3889">
        <w:rPr>
          <w:rFonts w:ascii="仿宋_GB2312" w:eastAsia="仿宋_GB2312" w:cs="仿宋_GB2312" w:hint="eastAsia"/>
          <w:color w:val="auto"/>
          <w:sz w:val="28"/>
          <w:szCs w:val="28"/>
        </w:rPr>
        <w:t>、分析航运数据的获取渠道，尤其是要区分航运数据来源的政府渠道和市场渠道；</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3</w:t>
      </w:r>
      <w:r w:rsidRPr="00DE3889">
        <w:rPr>
          <w:rFonts w:ascii="仿宋_GB2312" w:eastAsia="仿宋_GB2312" w:cs="仿宋_GB2312" w:hint="eastAsia"/>
          <w:color w:val="auto"/>
          <w:sz w:val="28"/>
          <w:szCs w:val="28"/>
        </w:rPr>
        <w:t>、研究大数据时代航运数据的获取模式、服务模式和政府对航运数据的监管模式；</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4</w:t>
      </w:r>
      <w:r w:rsidRPr="00DE3889">
        <w:rPr>
          <w:rFonts w:ascii="仿宋_GB2312" w:eastAsia="仿宋_GB2312" w:cs="仿宋_GB2312" w:hint="eastAsia"/>
          <w:color w:val="auto"/>
          <w:sz w:val="28"/>
          <w:szCs w:val="28"/>
        </w:rPr>
        <w:t>、提出航运数据开发利用的相关实施方案及建议。</w:t>
      </w:r>
    </w:p>
    <w:p w:rsidR="001439D0" w:rsidRPr="00DE3889" w:rsidRDefault="001439D0" w:rsidP="001439D0">
      <w:pPr>
        <w:pStyle w:val="1"/>
        <w:adjustRightInd w:val="0"/>
        <w:snapToGrid w:val="0"/>
        <w:spacing w:before="0" w:beforeAutospacing="0" w:after="0" w:afterAutospacing="0" w:line="360" w:lineRule="auto"/>
        <w:ind w:firstLineChars="200" w:firstLine="562"/>
        <w:rPr>
          <w:rFonts w:ascii="仿宋_GB2312" w:eastAsia="仿宋_GB2312" w:cs="Times New Roman"/>
          <w:b/>
          <w:bCs/>
          <w:color w:val="auto"/>
          <w:sz w:val="28"/>
          <w:szCs w:val="28"/>
        </w:rPr>
      </w:pPr>
      <w:r w:rsidRPr="00DE3889">
        <w:rPr>
          <w:rFonts w:ascii="仿宋_GB2312" w:eastAsia="仿宋_GB2312" w:cs="仿宋_GB2312" w:hint="eastAsia"/>
          <w:b/>
          <w:bCs/>
          <w:color w:val="auto"/>
          <w:sz w:val="28"/>
          <w:szCs w:val="28"/>
        </w:rPr>
        <w:t>研究实施进度与要求：</w:t>
      </w:r>
    </w:p>
    <w:p w:rsidR="001439D0" w:rsidRPr="00DE3889" w:rsidRDefault="001439D0" w:rsidP="001439D0">
      <w:pPr>
        <w:pStyle w:val="1"/>
        <w:adjustRightInd w:val="0"/>
        <w:snapToGrid w:val="0"/>
        <w:spacing w:before="0" w:beforeAutospacing="0" w:after="0" w:afterAutospacing="0" w:line="360" w:lineRule="auto"/>
        <w:ind w:firstLineChars="200" w:firstLine="560"/>
        <w:rPr>
          <w:rFonts w:ascii="仿宋_GB2312" w:eastAsia="仿宋_GB2312" w:cs="Times New Roman"/>
          <w:color w:val="auto"/>
          <w:sz w:val="28"/>
          <w:szCs w:val="28"/>
        </w:rPr>
      </w:pPr>
      <w:r w:rsidRPr="00DE3889">
        <w:rPr>
          <w:rFonts w:ascii="仿宋_GB2312" w:eastAsia="仿宋_GB2312" w:cs="仿宋_GB2312"/>
          <w:color w:val="auto"/>
          <w:sz w:val="28"/>
          <w:szCs w:val="28"/>
        </w:rPr>
        <w:t>1</w:t>
      </w:r>
      <w:r w:rsidRPr="00DE3889">
        <w:rPr>
          <w:rFonts w:ascii="仿宋_GB2312" w:eastAsia="仿宋_GB2312" w:cs="仿宋_GB2312" w:hint="eastAsia"/>
          <w:color w:val="auto"/>
          <w:sz w:val="28"/>
          <w:szCs w:val="28"/>
        </w:rPr>
        <w:t>、</w:t>
      </w:r>
      <w:r w:rsidRPr="00DE3889">
        <w:rPr>
          <w:rFonts w:ascii="仿宋_GB2312" w:eastAsia="仿宋_GB2312" w:cs="仿宋_GB2312"/>
          <w:color w:val="auto"/>
          <w:sz w:val="28"/>
          <w:szCs w:val="28"/>
        </w:rPr>
        <w:t>2014</w:t>
      </w:r>
      <w:r w:rsidRPr="00DE3889">
        <w:rPr>
          <w:rFonts w:ascii="仿宋_GB2312" w:eastAsia="仿宋_GB2312" w:cs="仿宋_GB2312" w:hint="eastAsia"/>
          <w:color w:val="auto"/>
          <w:sz w:val="28"/>
          <w:szCs w:val="28"/>
        </w:rPr>
        <w:t>年</w:t>
      </w:r>
      <w:r w:rsidRPr="00DE3889">
        <w:rPr>
          <w:rFonts w:ascii="仿宋_GB2312" w:eastAsia="仿宋_GB2312" w:cs="仿宋_GB2312"/>
          <w:color w:val="auto"/>
          <w:sz w:val="28"/>
          <w:szCs w:val="28"/>
        </w:rPr>
        <w:t>9</w:t>
      </w:r>
      <w:r w:rsidRPr="00DE3889">
        <w:rPr>
          <w:rFonts w:ascii="仿宋_GB2312" w:eastAsia="仿宋_GB2312" w:cs="仿宋_GB2312" w:hint="eastAsia"/>
          <w:color w:val="auto"/>
          <w:sz w:val="28"/>
          <w:szCs w:val="28"/>
        </w:rPr>
        <w:t>月中旬，提交课题研究中期成果报告或专题报告，进行中期成果评估。</w:t>
      </w:r>
    </w:p>
    <w:p w:rsidR="000B1387" w:rsidRDefault="001439D0" w:rsidP="001439D0">
      <w:r w:rsidRPr="00DE3889">
        <w:rPr>
          <w:rFonts w:ascii="仿宋_GB2312" w:eastAsia="仿宋_GB2312" w:cs="仿宋_GB2312"/>
          <w:sz w:val="28"/>
          <w:szCs w:val="28"/>
        </w:rPr>
        <w:t>2</w:t>
      </w:r>
      <w:r w:rsidRPr="00DE3889">
        <w:rPr>
          <w:rFonts w:ascii="仿宋_GB2312" w:eastAsia="仿宋_GB2312" w:cs="仿宋_GB2312" w:hint="eastAsia"/>
          <w:sz w:val="28"/>
          <w:szCs w:val="28"/>
        </w:rPr>
        <w:t>、</w:t>
      </w:r>
      <w:r w:rsidRPr="00DE3889">
        <w:rPr>
          <w:rFonts w:ascii="仿宋_GB2312" w:eastAsia="仿宋_GB2312" w:cs="仿宋_GB2312"/>
          <w:sz w:val="28"/>
          <w:szCs w:val="28"/>
        </w:rPr>
        <w:t>2014</w:t>
      </w:r>
      <w:r w:rsidRPr="00DE3889">
        <w:rPr>
          <w:rFonts w:ascii="仿宋_GB2312" w:eastAsia="仿宋_GB2312" w:cs="仿宋_GB2312" w:hint="eastAsia"/>
          <w:sz w:val="28"/>
          <w:szCs w:val="28"/>
        </w:rPr>
        <w:t>年</w:t>
      </w:r>
      <w:r w:rsidRPr="00DE3889">
        <w:rPr>
          <w:rFonts w:ascii="仿宋_GB2312" w:eastAsia="仿宋_GB2312" w:cs="仿宋_GB2312"/>
          <w:sz w:val="28"/>
          <w:szCs w:val="28"/>
        </w:rPr>
        <w:t>11</w:t>
      </w:r>
      <w:r w:rsidRPr="00DE3889">
        <w:rPr>
          <w:rFonts w:ascii="仿宋_GB2312" w:eastAsia="仿宋_GB2312" w:cs="仿宋_GB2312" w:hint="eastAsia"/>
          <w:sz w:val="28"/>
          <w:szCs w:val="28"/>
        </w:rPr>
        <w:t>月中旬，完成研究任务，</w:t>
      </w:r>
    </w:p>
    <w:sectPr w:rsidR="000B1387" w:rsidSect="000B13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42" w:rsidRDefault="00B55542" w:rsidP="001439D0">
      <w:r>
        <w:separator/>
      </w:r>
    </w:p>
  </w:endnote>
  <w:endnote w:type="continuationSeparator" w:id="0">
    <w:p w:rsidR="00B55542" w:rsidRDefault="00B55542" w:rsidP="001439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42" w:rsidRDefault="00B55542" w:rsidP="001439D0">
      <w:r>
        <w:separator/>
      </w:r>
    </w:p>
  </w:footnote>
  <w:footnote w:type="continuationSeparator" w:id="0">
    <w:p w:rsidR="00B55542" w:rsidRDefault="00B55542" w:rsidP="001439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9D0"/>
    <w:rsid w:val="000B1387"/>
    <w:rsid w:val="001439D0"/>
    <w:rsid w:val="007724D8"/>
    <w:rsid w:val="009D70B3"/>
    <w:rsid w:val="00B55542"/>
    <w:rsid w:val="00E04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9D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9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39D0"/>
    <w:rPr>
      <w:sz w:val="18"/>
      <w:szCs w:val="18"/>
    </w:rPr>
  </w:style>
  <w:style w:type="paragraph" w:styleId="a4">
    <w:name w:val="footer"/>
    <w:basedOn w:val="a"/>
    <w:link w:val="Char0"/>
    <w:uiPriority w:val="99"/>
    <w:semiHidden/>
    <w:unhideWhenUsed/>
    <w:rsid w:val="001439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39D0"/>
    <w:rPr>
      <w:sz w:val="18"/>
      <w:szCs w:val="18"/>
    </w:rPr>
  </w:style>
  <w:style w:type="paragraph" w:customStyle="1" w:styleId="1">
    <w:name w:val="普通(网站)1"/>
    <w:basedOn w:val="a"/>
    <w:uiPriority w:val="99"/>
    <w:rsid w:val="001439D0"/>
    <w:pPr>
      <w:widowControl/>
      <w:spacing w:before="100" w:beforeAutospacing="1" w:after="100" w:afterAutospacing="1"/>
      <w:jc w:val="left"/>
    </w:pPr>
    <w:rPr>
      <w:rFonts w:ascii="宋体" w:hAnsi="宋体" w:cs="宋体"/>
      <w:color w:val="000000"/>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1666</Characters>
  <Application>Microsoft Office Word</Application>
  <DocSecurity>0</DocSecurity>
  <Lines>13</Lines>
  <Paragraphs>3</Paragraphs>
  <ScaleCrop>false</ScaleCrop>
  <Company>上海理工大学</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USST</dc:creator>
  <cp:keywords/>
  <dc:description/>
  <cp:lastModifiedBy>USST</cp:lastModifiedBy>
  <cp:revision>2</cp:revision>
  <dcterms:created xsi:type="dcterms:W3CDTF">2014-06-03T01:13:00Z</dcterms:created>
  <dcterms:modified xsi:type="dcterms:W3CDTF">2014-06-03T01:13:00Z</dcterms:modified>
</cp:coreProperties>
</file>